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tblInd w:w="-92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08"/>
        <w:gridCol w:w="6659"/>
      </w:tblGrid>
      <w:tr w:rsidR="00D01C3C" w:rsidRPr="00D01C3C" w:rsidTr="00387260">
        <w:trPr>
          <w:trHeight w:val="812"/>
        </w:trPr>
        <w:tc>
          <w:tcPr>
            <w:tcW w:w="10767" w:type="dxa"/>
            <w:gridSpan w:val="2"/>
            <w:shd w:val="clear" w:color="auto" w:fill="auto"/>
          </w:tcPr>
          <w:p w:rsidR="00387260" w:rsidRPr="00D01C3C" w:rsidRDefault="00387260" w:rsidP="00387260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01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OBRAZAC</w:t>
            </w:r>
          </w:p>
          <w:p w:rsidR="00387260" w:rsidRPr="00D01C3C" w:rsidRDefault="00387260" w:rsidP="0038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01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387260" w:rsidRPr="00D01C3C" w:rsidRDefault="00387260" w:rsidP="0038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01C3C" w:rsidRPr="00D01C3C" w:rsidTr="00387260">
        <w:trPr>
          <w:trHeight w:val="497"/>
        </w:trPr>
        <w:tc>
          <w:tcPr>
            <w:tcW w:w="4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7260" w:rsidRPr="00D01C3C" w:rsidRDefault="00387260" w:rsidP="0038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01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7260" w:rsidRPr="00D01C3C" w:rsidRDefault="00387260" w:rsidP="0038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3C">
              <w:rPr>
                <w:rFonts w:ascii="Times New Roman" w:hAnsi="Times New Roman" w:cs="Times New Roman"/>
                <w:sz w:val="24"/>
                <w:szCs w:val="24"/>
              </w:rPr>
              <w:t>Nacrt prijedloga odluke o  izmjenama i dopunama Odluke o  komunalnom redu</w:t>
            </w:r>
          </w:p>
          <w:p w:rsidR="00387260" w:rsidRPr="00D01C3C" w:rsidRDefault="00387260" w:rsidP="0038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01C3C" w:rsidRPr="00D01C3C" w:rsidTr="00387260">
        <w:trPr>
          <w:trHeight w:val="926"/>
        </w:trPr>
        <w:tc>
          <w:tcPr>
            <w:tcW w:w="4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7260" w:rsidRPr="00D01C3C" w:rsidRDefault="00387260" w:rsidP="0038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01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7260" w:rsidRPr="00D01C3C" w:rsidRDefault="00387260" w:rsidP="00387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Gradski ured za obnovu, izgradnju, prostorno uređenje,</w:t>
            </w:r>
          </w:p>
          <w:p w:rsidR="00387260" w:rsidRPr="00D01C3C" w:rsidRDefault="00387260" w:rsidP="00387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graditeljstvo i  komunalne poslove </w:t>
            </w:r>
          </w:p>
          <w:p w:rsidR="00387260" w:rsidRPr="00D01C3C" w:rsidRDefault="00387260" w:rsidP="00387260">
            <w:pPr>
              <w:spacing w:after="0" w:line="240" w:lineRule="auto"/>
              <w:ind w:left="7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260" w:rsidRPr="00D01C3C" w:rsidRDefault="00387260" w:rsidP="0038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D01C3C" w:rsidRPr="00D01C3C" w:rsidTr="00387260">
        <w:trPr>
          <w:trHeight w:val="557"/>
        </w:trPr>
        <w:tc>
          <w:tcPr>
            <w:tcW w:w="4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7260" w:rsidRPr="00D01C3C" w:rsidRDefault="00387260" w:rsidP="0038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01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7260" w:rsidRPr="00D01C3C" w:rsidRDefault="00387260" w:rsidP="0038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studenoga do 3. prosinca 2023.</w:t>
            </w:r>
          </w:p>
        </w:tc>
      </w:tr>
      <w:tr w:rsidR="00D01C3C" w:rsidRPr="00D01C3C" w:rsidTr="00387260">
        <w:trPr>
          <w:trHeight w:val="557"/>
        </w:trPr>
        <w:tc>
          <w:tcPr>
            <w:tcW w:w="4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7260" w:rsidRPr="00D01C3C" w:rsidRDefault="00387260" w:rsidP="0038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01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7260" w:rsidRPr="00D01C3C" w:rsidRDefault="00387260" w:rsidP="0038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3D6472" w:rsidRPr="00D01C3C" w:rsidRDefault="003D6472" w:rsidP="003D647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701"/>
        <w:gridCol w:w="3119"/>
        <w:gridCol w:w="3402"/>
      </w:tblGrid>
      <w:tr w:rsidR="00D01C3C" w:rsidRPr="00D01C3C" w:rsidTr="006F4C3F"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D6472" w:rsidRPr="00D01C3C" w:rsidRDefault="003D6472" w:rsidP="00080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C3C"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D6472" w:rsidRPr="00D01C3C" w:rsidRDefault="003D6472" w:rsidP="00C6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C3C">
              <w:rPr>
                <w:rFonts w:ascii="Times New Roman" w:hAnsi="Times New Roman" w:cs="Times New Roman"/>
                <w:b/>
                <w:sz w:val="24"/>
                <w:szCs w:val="24"/>
              </w:rPr>
              <w:t>Predstavnici  javnosti (pojedinac, organizacija, institucija)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D6472" w:rsidRPr="00D01C3C" w:rsidRDefault="003D6472" w:rsidP="000808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C3C">
              <w:rPr>
                <w:rFonts w:ascii="Times New Roman" w:hAnsi="Times New Roman" w:cs="Times New Roman"/>
                <w:b/>
                <w:sz w:val="24"/>
                <w:szCs w:val="24"/>
              </w:rPr>
              <w:t>Članak na koji se odnosi primjedba/</w:t>
            </w:r>
          </w:p>
          <w:p w:rsidR="003D6472" w:rsidRPr="00D01C3C" w:rsidRDefault="003D6472" w:rsidP="000808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C3C">
              <w:rPr>
                <w:rFonts w:ascii="Times New Roman" w:hAnsi="Times New Roman" w:cs="Times New Roman"/>
                <w:b/>
                <w:sz w:val="24"/>
                <w:szCs w:val="24"/>
              </w:rPr>
              <w:t>prijedlog</w:t>
            </w:r>
          </w:p>
        </w:tc>
        <w:tc>
          <w:tcPr>
            <w:tcW w:w="311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D6472" w:rsidRPr="00D01C3C" w:rsidRDefault="003D6472" w:rsidP="00C6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C3C">
              <w:rPr>
                <w:rFonts w:ascii="Times New Roman" w:hAnsi="Times New Roman" w:cs="Times New Roman"/>
                <w:b/>
                <w:sz w:val="24"/>
                <w:szCs w:val="24"/>
              </w:rPr>
              <w:t>Tekst primjedbe/</w:t>
            </w:r>
          </w:p>
          <w:p w:rsidR="003D6472" w:rsidRPr="00D01C3C" w:rsidRDefault="003D6472" w:rsidP="00C6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C3C">
              <w:rPr>
                <w:rFonts w:ascii="Times New Roman" w:hAnsi="Times New Roman" w:cs="Times New Roman"/>
                <w:b/>
                <w:sz w:val="24"/>
                <w:szCs w:val="24"/>
              </w:rPr>
              <w:t>prijedloga</w:t>
            </w:r>
          </w:p>
        </w:tc>
        <w:tc>
          <w:tcPr>
            <w:tcW w:w="3402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D6472" w:rsidRPr="00D01C3C" w:rsidRDefault="003D6472" w:rsidP="00C6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C3C">
              <w:rPr>
                <w:rFonts w:ascii="Times New Roman" w:hAnsi="Times New Roman" w:cs="Times New Roman"/>
                <w:b/>
                <w:sz w:val="24"/>
                <w:szCs w:val="24"/>
              </w:rPr>
              <w:t>Prihvaćanje/ neprihvaćanje primjedbe/ prijedloga sa obrazloženjem</w:t>
            </w:r>
          </w:p>
        </w:tc>
      </w:tr>
      <w:tr w:rsidR="00D01C3C" w:rsidRPr="00D01C3C" w:rsidTr="006F4C3F">
        <w:trPr>
          <w:trHeight w:val="2824"/>
        </w:trPr>
        <w:tc>
          <w:tcPr>
            <w:tcW w:w="709" w:type="dxa"/>
            <w:tcBorders>
              <w:left w:val="thinThickSmallGap" w:sz="24" w:space="0" w:color="auto"/>
            </w:tcBorders>
            <w:shd w:val="clear" w:color="auto" w:fill="auto"/>
          </w:tcPr>
          <w:p w:rsidR="003D6472" w:rsidRPr="00D01C3C" w:rsidRDefault="000808E5" w:rsidP="0008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3D6472" w:rsidRPr="00D01C3C" w:rsidRDefault="003D6472" w:rsidP="00C6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3C">
              <w:rPr>
                <w:rFonts w:ascii="Times New Roman" w:hAnsi="Times New Roman" w:cs="Times New Roman"/>
                <w:sz w:val="24"/>
                <w:szCs w:val="24"/>
              </w:rPr>
              <w:t>N. T. K.</w:t>
            </w:r>
          </w:p>
        </w:tc>
        <w:tc>
          <w:tcPr>
            <w:tcW w:w="1701" w:type="dxa"/>
            <w:shd w:val="clear" w:color="auto" w:fill="auto"/>
          </w:tcPr>
          <w:p w:rsidR="003D6472" w:rsidRPr="00D01C3C" w:rsidRDefault="003D6472" w:rsidP="00C6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6472" w:rsidRPr="00D01C3C" w:rsidRDefault="003D6472" w:rsidP="003D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Primjedba na nacrt akt</w:t>
            </w:r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a:</w:t>
            </w:r>
          </w:p>
          <w:p w:rsidR="003D6472" w:rsidRPr="00D01C3C" w:rsidRDefault="003D6472" w:rsidP="003D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Isključivanje Mjesnog odbora Matko </w:t>
            </w:r>
            <w:proofErr w:type="spellStart"/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Laginja</w:t>
            </w:r>
            <w:proofErr w:type="spellEnd"/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iz dijela Grada gdje je predviđeno odlaganje miješanog i </w:t>
            </w:r>
            <w:proofErr w:type="spellStart"/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reciklabilnog</w:t>
            </w:r>
            <w:proofErr w:type="spellEnd"/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komunalnog otpada u podzemne spremnike s obzirom da su svi dio gradske četvrti Donji grad, snose jednake obveze, ograničenja i troškove te bi trebali imati i jednaka prava i usluge, uključujući u pogledu načina sakupljanja miješanog i </w:t>
            </w:r>
            <w:proofErr w:type="spellStart"/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reciklabilnog</w:t>
            </w:r>
            <w:proofErr w:type="spellEnd"/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komunalnog otpada.</w:t>
            </w:r>
          </w:p>
          <w:p w:rsidR="003D6472" w:rsidRPr="00D01C3C" w:rsidRDefault="003D6472" w:rsidP="003D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Prijedlog:</w:t>
            </w:r>
          </w:p>
          <w:p w:rsidR="003D6472" w:rsidRPr="00D01C3C" w:rsidRDefault="003D6472" w:rsidP="003D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Uključivanje Mjesnog odbora Matko </w:t>
            </w:r>
            <w:proofErr w:type="spellStart"/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Laginja</w:t>
            </w:r>
            <w:proofErr w:type="spellEnd"/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„zonu podzemnih spremnika“ Donjeg grada kao što je to prvotno bilo planirano, a vidljivo je iz karata s prijedlogom lokacija podzemnih spremnika koje je izradio Gradski ured za gospodarstvo, ekološku </w:t>
            </w:r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održivost i strategijsko planiranje i koje su bile objavljene na </w:t>
            </w:r>
            <w:hyperlink r:id="rId5" w:history="1">
              <w:r w:rsidRPr="00D01C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hr-HR"/>
                </w:rPr>
                <w:t>www.zgvrecice.cistoca.hr</w:t>
              </w:r>
            </w:hyperlink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3D6472" w:rsidRPr="00D01C3C" w:rsidRDefault="003D6472" w:rsidP="003D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Obrazloženje prijedloga:</w:t>
            </w:r>
          </w:p>
          <w:p w:rsidR="003D6472" w:rsidRPr="00D01C3C" w:rsidRDefault="003D6472" w:rsidP="003D6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 Matko </w:t>
            </w:r>
            <w:proofErr w:type="spellStart"/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Laginja</w:t>
            </w:r>
            <w:proofErr w:type="spellEnd"/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njegovi građani neosnovano su zakinuti za kvalitetno rješenje odlaganja miješanog i </w:t>
            </w:r>
            <w:proofErr w:type="spellStart"/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reciklabilnog</w:t>
            </w:r>
            <w:proofErr w:type="spellEnd"/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komunalnog otpada namijenjenog gradskoj četvrti Donji grad kojoj i sami pripadaju. Rješenje koje se nameće, s metalnim nadzemnim </w:t>
            </w:r>
            <w:proofErr w:type="spellStart"/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boksevima</w:t>
            </w:r>
            <w:proofErr w:type="spellEnd"/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kombinaciji s </w:t>
            </w:r>
            <w:proofErr w:type="spellStart"/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polupodzemnim</w:t>
            </w:r>
            <w:proofErr w:type="spellEnd"/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spremnicima nagrđuje kvart te umanjuje komunalni i životni standard.</w:t>
            </w:r>
          </w:p>
          <w:p w:rsidR="003D6472" w:rsidRPr="00D01C3C" w:rsidRDefault="003D6472" w:rsidP="003D6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Jednaka Urbana pravila, odnosno uvjeti za uređenje prostora, u Generalnom urbanističkom planu Grada Zagreba, prema kojima MO Matko </w:t>
            </w:r>
            <w:proofErr w:type="spellStart"/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Laginja</w:t>
            </w:r>
            <w:proofErr w:type="spellEnd"/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spada u tzv. „visoko-konsolidirano područje“ s pravilima jednakim dijelu Grada gdje je predviđena ugradnja podzemnih spremnika za otpad.</w:t>
            </w:r>
          </w:p>
          <w:p w:rsidR="003D6472" w:rsidRPr="00D01C3C" w:rsidRDefault="003D6472" w:rsidP="003D6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Jednaka zaštita prostora, s obzirom da MO Matko </w:t>
            </w:r>
            <w:proofErr w:type="spellStart"/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Laginja</w:t>
            </w:r>
            <w:proofErr w:type="spellEnd"/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spada u gradsku četvrt Donji grad koja ima pravni status „zaštićenog kulturnog dobra“ te, zajedno s Gornjim gradom i Kaptolom, čini „povijesnu urbanu cjelinu Grada Zagreba“, a prema čemu je MO Matko </w:t>
            </w:r>
            <w:proofErr w:type="spellStart"/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Laginja</w:t>
            </w:r>
            <w:proofErr w:type="spellEnd"/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dio iste kulturno-povijesno vrijedne i zaštićene cjeline kao i dijelovi Grada gdje su predviđeni podzemni spremnici. </w:t>
            </w:r>
          </w:p>
          <w:p w:rsidR="003D6472" w:rsidRPr="00D01C3C" w:rsidRDefault="003D6472" w:rsidP="006F4C3F">
            <w:pPr>
              <w:numPr>
                <w:ilvl w:val="0"/>
                <w:numId w:val="1"/>
              </w:num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Jednaka stvarna zaštita nepokretnih kulturnih dobara s obzirom da svaki zahvat na građevini koja se nalazi u zoni A ili u zoni B GUP-a podliježe postupku u kojem Gradski zavod za zaštitu spomenika kulture i prirode daje svoje mišljenje i odobrenje na dokumentaciju za planirani zahvat. Bez takvog mišljenja nije moguće izvoditi građevinske ili druge radove, pri čemu zona B nema „slabije“ kriterije od onih u zoni A već se za svaku građevinu to definira kroz pokrenuti upravni postupak i donesenu suglasnost, mišljenje ili potvrdu. Mjere zaštite koje na taj način odredi Gradski zavod za zaštitu spomenika kulture i prirode mogu biti apsolutno iste za zgradu iz zone A ili za zgradu iz zone B. Razgraničenje između zona nije izrazito i oštro određeno već one ulaze jedna u drugu i isprepliću se. Iz niza primjera obnove zgrada na području MO Matko </w:t>
            </w:r>
            <w:proofErr w:type="spellStart"/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Laginja</w:t>
            </w:r>
            <w:proofErr w:type="spellEnd"/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svjedočimo aktiviranju jednake zaštite od strane konzervatora, od diktiranja toplinske izolacije i materijala do dimenzija, oblika i boja (npr. fasade, vanjska stolarija, obloge, krovovi i dr.). Stoga, obrazloženje za postavljanje podzemnih spremnika objavljeno na mrežnim stranicama </w:t>
            </w:r>
            <w:hyperlink r:id="rId6" w:history="1">
              <w:r w:rsidRPr="00D01C3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hr-HR"/>
                </w:rPr>
                <w:t>https://zgvrecice.cistoca.hr/cesta-pitanja/35</w:t>
              </w:r>
            </w:hyperlink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kojem stoji: „</w:t>
            </w:r>
            <w:r w:rsidRPr="00D01C3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01C3C">
              <w:rPr>
                <w:rFonts w:ascii="Times New Roman" w:hAnsi="Times New Roman" w:cs="Times New Roman"/>
                <w:i/>
                <w:sz w:val="24"/>
                <w:szCs w:val="24"/>
              </w:rPr>
              <w:t>bog posebnog statusa gradske</w:t>
            </w:r>
            <w:r w:rsidRPr="00D01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1C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jezgre u kojoj je potrebna suglasnost konzervatora, u povijesnoj jezgri nije moguće postavljanje boksova na javnu površinu već isključivo podzemnih spremnika … Također, vlasnici stanova i poslovnih prostora u gradskoj jezgri imaju ograničenja prilikom nove izgradnje i rekonstrukcije svojih nekretnina …“ </w:t>
            </w:r>
            <w:r w:rsidRPr="00D01C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u potpunosti se odnosi i istovjetno je stvarnim iskustvima u obnovi zgrada i na području MO Matko </w:t>
            </w:r>
            <w:proofErr w:type="spellStart"/>
            <w:r w:rsidRPr="00D01C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Laginja</w:t>
            </w:r>
            <w:proofErr w:type="spellEnd"/>
            <w:r w:rsidRPr="00D01C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.</w:t>
            </w:r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Proizlazi da zone A i B ne mogu biti i nisu osnova za određivanje komunalnog standarda prostora.</w:t>
            </w:r>
          </w:p>
          <w:p w:rsidR="003D6472" w:rsidRPr="00D01C3C" w:rsidRDefault="003D6472" w:rsidP="003D6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C3C">
              <w:rPr>
                <w:rFonts w:ascii="Times New Roman" w:hAnsi="Times New Roman" w:cs="Times New Roman"/>
                <w:sz w:val="24"/>
                <w:szCs w:val="24"/>
              </w:rPr>
              <w:t xml:space="preserve">Jednaka, odnosno najviša razina komunalne naknade kao i u Mjesnim odborima gdje se ugrađuju podzemni spremnici za miješani i </w:t>
            </w:r>
            <w:proofErr w:type="spellStart"/>
            <w:r w:rsidRPr="00D01C3C">
              <w:rPr>
                <w:rFonts w:ascii="Times New Roman" w:hAnsi="Times New Roman" w:cs="Times New Roman"/>
                <w:sz w:val="24"/>
                <w:szCs w:val="24"/>
              </w:rPr>
              <w:t>reciklabilni</w:t>
            </w:r>
            <w:proofErr w:type="spellEnd"/>
            <w:r w:rsidRPr="00D01C3C">
              <w:rPr>
                <w:rFonts w:ascii="Times New Roman" w:hAnsi="Times New Roman" w:cs="Times New Roman"/>
                <w:sz w:val="24"/>
                <w:szCs w:val="24"/>
              </w:rPr>
              <w:t xml:space="preserve"> komunalni otpad što znači da za istu visinu naknade MO Matko </w:t>
            </w:r>
            <w:proofErr w:type="spellStart"/>
            <w:r w:rsidRPr="00D01C3C">
              <w:rPr>
                <w:rFonts w:ascii="Times New Roman" w:hAnsi="Times New Roman" w:cs="Times New Roman"/>
                <w:sz w:val="24"/>
                <w:szCs w:val="24"/>
              </w:rPr>
              <w:t>Laginja</w:t>
            </w:r>
            <w:proofErr w:type="spellEnd"/>
            <w:r w:rsidRPr="00D01C3C">
              <w:rPr>
                <w:rFonts w:ascii="Times New Roman" w:hAnsi="Times New Roman" w:cs="Times New Roman"/>
                <w:sz w:val="24"/>
                <w:szCs w:val="24"/>
              </w:rPr>
              <w:t xml:space="preserve"> dobiva znatno inferiorniji standard komunalne usluge.</w:t>
            </w:r>
          </w:p>
          <w:p w:rsidR="003D6472" w:rsidRPr="00D01C3C" w:rsidRDefault="003D6472" w:rsidP="003D6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C3C">
              <w:rPr>
                <w:rFonts w:ascii="Times New Roman" w:hAnsi="Times New Roman" w:cs="Times New Roman"/>
                <w:sz w:val="24"/>
                <w:szCs w:val="24"/>
              </w:rPr>
              <w:t>Jednaka naknada usluge sakupljanja i odvoza komunalnog otpada kao na području Grada koje ostvaruje pravo na podzemne spremnike.</w:t>
            </w:r>
          </w:p>
          <w:p w:rsidR="003D6472" w:rsidRPr="00D01C3C" w:rsidRDefault="003D6472" w:rsidP="003D6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C3C">
              <w:rPr>
                <w:rFonts w:ascii="Times New Roman" w:hAnsi="Times New Roman" w:cs="Times New Roman"/>
                <w:sz w:val="24"/>
                <w:szCs w:val="24"/>
              </w:rPr>
              <w:t xml:space="preserve">Iracionalno je trošiti sredstva za lošije rješenje, odnosno za izgradnju više desetaka nadzemnih </w:t>
            </w:r>
            <w:proofErr w:type="spellStart"/>
            <w:r w:rsidRPr="00D01C3C">
              <w:rPr>
                <w:rFonts w:ascii="Times New Roman" w:hAnsi="Times New Roman" w:cs="Times New Roman"/>
                <w:sz w:val="24"/>
                <w:szCs w:val="24"/>
              </w:rPr>
              <w:t>bokseva</w:t>
            </w:r>
            <w:proofErr w:type="spellEnd"/>
            <w:r w:rsidRPr="00D01C3C">
              <w:rPr>
                <w:rFonts w:ascii="Times New Roman" w:hAnsi="Times New Roman" w:cs="Times New Roman"/>
                <w:sz w:val="24"/>
                <w:szCs w:val="24"/>
              </w:rPr>
              <w:t xml:space="preserve"> te za nekoliko </w:t>
            </w:r>
            <w:proofErr w:type="spellStart"/>
            <w:r w:rsidRPr="00D01C3C">
              <w:rPr>
                <w:rFonts w:ascii="Times New Roman" w:hAnsi="Times New Roman" w:cs="Times New Roman"/>
                <w:sz w:val="24"/>
                <w:szCs w:val="24"/>
              </w:rPr>
              <w:t>polupodzemnih</w:t>
            </w:r>
            <w:proofErr w:type="spellEnd"/>
            <w:r w:rsidRPr="00D01C3C">
              <w:rPr>
                <w:rFonts w:ascii="Times New Roman" w:hAnsi="Times New Roman" w:cs="Times New Roman"/>
                <w:sz w:val="24"/>
                <w:szCs w:val="24"/>
              </w:rPr>
              <w:t xml:space="preserve"> spremnika ako se za vjerojatno ista ili približno ista sredstva mogu napraviti originalno predviđeni podzemni spremnici.</w:t>
            </w:r>
          </w:p>
          <w:p w:rsidR="003D6472" w:rsidRPr="00D01C3C" w:rsidRDefault="003D6472" w:rsidP="003D64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C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Primjedba i prijedlog na članak nacrta: </w:t>
            </w:r>
          </w:p>
          <w:p w:rsidR="003D6472" w:rsidRPr="00D01C3C" w:rsidRDefault="003D6472" w:rsidP="003D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3C">
              <w:rPr>
                <w:rFonts w:ascii="Times New Roman" w:hAnsi="Times New Roman" w:cs="Times New Roman"/>
                <w:sz w:val="24"/>
                <w:szCs w:val="24"/>
              </w:rPr>
              <w:t xml:space="preserve">Primjedba na članak 4. nacrta Odluke o izmjenama i dopunama Odluke o komunalnom redu, kojim se unose promjene u članak 136. Odluke o komunalnom redu (Službeni glasnik Grada Zagreba 15/23), a kojom primjedbom zahtijevamo da se članak 136., stavak 1. izmijeni tako da glasi: „Na području unutar granica mjesnih odbora „Stjepan Radić“, „Petar Zrinski“, „Andrija Medulić“, „Mimara“, Tuškanac, Gornji grad, Cvjetni trg, „Kralj Petar Svačić“, Nova </w:t>
            </w:r>
            <w:proofErr w:type="spellStart"/>
            <w:r w:rsidRPr="00D01C3C">
              <w:rPr>
                <w:rFonts w:ascii="Times New Roman" w:hAnsi="Times New Roman" w:cs="Times New Roman"/>
                <w:sz w:val="24"/>
                <w:szCs w:val="24"/>
              </w:rPr>
              <w:t>Ves</w:t>
            </w:r>
            <w:proofErr w:type="spellEnd"/>
            <w:r w:rsidRPr="00D01C3C">
              <w:rPr>
                <w:rFonts w:ascii="Times New Roman" w:hAnsi="Times New Roman" w:cs="Times New Roman"/>
                <w:sz w:val="24"/>
                <w:szCs w:val="24"/>
              </w:rPr>
              <w:t xml:space="preserve">, „August Cesarec“, Zrinjevac, „August Šenoa“, </w:t>
            </w:r>
            <w:proofErr w:type="spellStart"/>
            <w:r w:rsidRPr="00D01C3C">
              <w:rPr>
                <w:rFonts w:ascii="Times New Roman" w:hAnsi="Times New Roman" w:cs="Times New Roman"/>
                <w:sz w:val="24"/>
                <w:szCs w:val="24"/>
              </w:rPr>
              <w:t>Medveščak</w:t>
            </w:r>
            <w:proofErr w:type="spellEnd"/>
            <w:r w:rsidRPr="00D01C3C">
              <w:rPr>
                <w:rFonts w:ascii="Times New Roman" w:hAnsi="Times New Roman" w:cs="Times New Roman"/>
                <w:sz w:val="24"/>
                <w:szCs w:val="24"/>
              </w:rPr>
              <w:t xml:space="preserve">, Ribnjak, „Hrvatski narodni vladari“, „Knez Mislav“, „Nadbiskup Antun Bauer“, </w:t>
            </w:r>
            <w:r w:rsidRPr="00D0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„Matko </w:t>
            </w:r>
            <w:proofErr w:type="spellStart"/>
            <w:r w:rsidRPr="00D0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Laginja</w:t>
            </w:r>
            <w:proofErr w:type="spellEnd"/>
            <w:r w:rsidRPr="00D0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Pr="00D01C3C">
              <w:rPr>
                <w:rFonts w:ascii="Times New Roman" w:hAnsi="Times New Roman" w:cs="Times New Roman"/>
                <w:sz w:val="24"/>
                <w:szCs w:val="24"/>
              </w:rPr>
              <w:t xml:space="preserve"> i „Petar Krešimir IV“ te na području Britanskog trga miješani i komunalni otpad odlaže se u podzemne spremnike na površinama javne namjene, ako korisnik javne usluge sakupljanja komunalnog otpada nema mogućnosti smještaja spremnika unutar katastarske čestice svoje nekretnine.</w:t>
            </w:r>
          </w:p>
          <w:p w:rsidR="003D6472" w:rsidRPr="00D01C3C" w:rsidRDefault="003D6472" w:rsidP="003D64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C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Obrazloženje:</w:t>
            </w:r>
          </w:p>
          <w:p w:rsidR="003D6472" w:rsidRPr="00D01C3C" w:rsidRDefault="003D6472" w:rsidP="003D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Uključivanjem u “zonu podzemnih spremnika“ u Mjesnom odboru Matko </w:t>
            </w:r>
            <w:proofErr w:type="spellStart"/>
            <w:r w:rsidRPr="00D01C3C">
              <w:rPr>
                <w:rFonts w:ascii="Times New Roman" w:eastAsia="Calibri" w:hAnsi="Times New Roman" w:cs="Times New Roman"/>
                <w:sz w:val="24"/>
                <w:szCs w:val="24"/>
              </w:rPr>
              <w:t>Laginja</w:t>
            </w:r>
            <w:proofErr w:type="spellEnd"/>
            <w:r w:rsidRPr="00D01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osiguralo bi se rješenje odlaganja otpada primjereno suvremenom komunalnom standardu i uređenom kvartu u centru Zagreba te bi, nadalje, Mjesnom odboru Matko </w:t>
            </w:r>
            <w:proofErr w:type="spellStart"/>
            <w:r w:rsidRPr="00D01C3C">
              <w:rPr>
                <w:rFonts w:ascii="Times New Roman" w:eastAsia="Calibri" w:hAnsi="Times New Roman" w:cs="Times New Roman"/>
                <w:sz w:val="24"/>
                <w:szCs w:val="24"/>
              </w:rPr>
              <w:t>Laginja</w:t>
            </w:r>
            <w:proofErr w:type="spellEnd"/>
            <w:r w:rsidRPr="00D01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bila osigurana jednaka prava i usluge kao već uključenim dijelovima Grada, a s kojima zajedno čini gradsku četvrt Donji grad, podliježe jednakoj zaštiti prostora, stvarnoj zaštiti nepokretnih kulturnih dobara i jednakim urbanim pravilima te također snosi jednaku razinu komunalne naknade i troškove sakupljanja i odvoza komunalnog otpada.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  <w:shd w:val="clear" w:color="auto" w:fill="auto"/>
          </w:tcPr>
          <w:p w:rsidR="003D6472" w:rsidRDefault="00C64E9F" w:rsidP="0008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Primjedba se ne prihvaća.</w:t>
            </w:r>
          </w:p>
          <w:p w:rsidR="006413B8" w:rsidRPr="006413B8" w:rsidRDefault="006413B8" w:rsidP="0008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B8">
              <w:rPr>
                <w:rFonts w:ascii="Times New Roman" w:hAnsi="Times New Roman" w:cs="Times New Roman"/>
                <w:sz w:val="24"/>
                <w:szCs w:val="24"/>
              </w:rPr>
              <w:t xml:space="preserve">Samo za zgrade u užem centru Grada Zagreba koje nemaju prostornih mogućnosti za smještaj spremnika unutar svojih nekretnina za korisnike javne usluge sakupljanja komunalnog otpada predviđa se gradnja podzemnih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polupodzemnih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3B8">
              <w:rPr>
                <w:rFonts w:ascii="Times New Roman" w:hAnsi="Times New Roman" w:cs="Times New Roman"/>
                <w:sz w:val="24"/>
                <w:szCs w:val="24"/>
              </w:rPr>
              <w:t xml:space="preserve">spremnika, kako bi se očuvala povijesno urbana jezgra i urbanističko-arhitektonski značaj samoga prostora. S obzirom na to da uže središte Grada predstavlja zaštićeno područje, Grad je na sebe preuzeo obvezu izgradnje podzemnih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polupodzemnih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3B8">
              <w:rPr>
                <w:rFonts w:ascii="Times New Roman" w:hAnsi="Times New Roman" w:cs="Times New Roman"/>
                <w:sz w:val="24"/>
                <w:szCs w:val="24"/>
              </w:rPr>
              <w:t xml:space="preserve">spremnika jer je njihova izgradnja i složenija i skuplja za građane, a kako se radi o gradnji u prostoru pod posebnom zaštitom postupak je dodatno i složeniji. U ostalom dijelu Grada </w:t>
            </w:r>
            <w:r w:rsidRPr="00641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Zagreba omogućeno je postavljanje građevina gotove konstrukcije za smještaj spremnika jer je ocjenjeno da je postavljanje takvih konstrukcija jednostavnije i cjenovno prihvatljive i da građenje gotovih konstrukcije neće predstavljati teret koji vlasnici neće moći podmiriti iz troškova pričuve. Ističemo da se ovdje radi o korištenju površine javne namjene koje je građanima omogućeno bez plaćanja naknade te se slijedom navedenog primjedba ne prihvaća</w:t>
            </w:r>
            <w:r w:rsidR="00BF6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D01C3C" w:rsidRPr="00D01C3C" w:rsidTr="006F4C3F">
        <w:trPr>
          <w:trHeight w:val="2824"/>
        </w:trPr>
        <w:tc>
          <w:tcPr>
            <w:tcW w:w="709" w:type="dxa"/>
            <w:tcBorders>
              <w:left w:val="thinThickSmallGap" w:sz="24" w:space="0" w:color="auto"/>
            </w:tcBorders>
            <w:shd w:val="clear" w:color="auto" w:fill="auto"/>
          </w:tcPr>
          <w:p w:rsidR="000808E5" w:rsidRPr="00D01C3C" w:rsidRDefault="000808E5" w:rsidP="0008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shd w:val="clear" w:color="auto" w:fill="auto"/>
          </w:tcPr>
          <w:p w:rsidR="000808E5" w:rsidRPr="00D01C3C" w:rsidRDefault="000808E5" w:rsidP="00C6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3C">
              <w:rPr>
                <w:rFonts w:ascii="Times New Roman" w:hAnsi="Times New Roman" w:cs="Times New Roman"/>
                <w:sz w:val="24"/>
                <w:szCs w:val="24"/>
              </w:rPr>
              <w:t xml:space="preserve">MO „Kralj Zvonimir“,  MO „Matko </w:t>
            </w:r>
            <w:proofErr w:type="spellStart"/>
            <w:r w:rsidRPr="00D01C3C">
              <w:rPr>
                <w:rFonts w:ascii="Times New Roman" w:hAnsi="Times New Roman" w:cs="Times New Roman"/>
                <w:sz w:val="24"/>
                <w:szCs w:val="24"/>
              </w:rPr>
              <w:t>Laginja</w:t>
            </w:r>
            <w:proofErr w:type="spellEnd"/>
            <w:r w:rsidRPr="00D01C3C">
              <w:rPr>
                <w:rFonts w:ascii="Times New Roman" w:hAnsi="Times New Roman" w:cs="Times New Roman"/>
                <w:sz w:val="24"/>
                <w:szCs w:val="24"/>
              </w:rPr>
              <w:t>“ i „Pavao Šubić“</w:t>
            </w:r>
          </w:p>
        </w:tc>
        <w:tc>
          <w:tcPr>
            <w:tcW w:w="1701" w:type="dxa"/>
            <w:shd w:val="clear" w:color="auto" w:fill="auto"/>
          </w:tcPr>
          <w:p w:rsidR="000808E5" w:rsidRPr="00D01C3C" w:rsidRDefault="000808E5" w:rsidP="00C6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3C">
              <w:rPr>
                <w:rFonts w:ascii="Times New Roman" w:hAnsi="Times New Roman" w:cs="Times New Roman"/>
                <w:sz w:val="24"/>
                <w:szCs w:val="24"/>
              </w:rPr>
              <w:t>Načelne primjedbe</w:t>
            </w:r>
          </w:p>
        </w:tc>
        <w:tc>
          <w:tcPr>
            <w:tcW w:w="3119" w:type="dxa"/>
            <w:shd w:val="clear" w:color="auto" w:fill="auto"/>
          </w:tcPr>
          <w:p w:rsidR="000808E5" w:rsidRPr="00D01C3C" w:rsidRDefault="000808E5" w:rsidP="003D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1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Predloženi nacrt akta ne ispravlja diskriminatornu izmjenu i odluku iz Pravilnika Broj 15 od 3. svibnja 2023.</w:t>
            </w:r>
          </w:p>
          <w:p w:rsidR="000808E5" w:rsidRPr="00D01C3C" w:rsidRDefault="000808E5" w:rsidP="003D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808E5" w:rsidRPr="00D01C3C" w:rsidRDefault="000808E5" w:rsidP="003D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right w:val="thinThickSmallGap" w:sz="24" w:space="0" w:color="auto"/>
            </w:tcBorders>
            <w:shd w:val="clear" w:color="auto" w:fill="auto"/>
          </w:tcPr>
          <w:p w:rsidR="000808E5" w:rsidRPr="00D01C3C" w:rsidRDefault="00C64E9F" w:rsidP="0051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Primjedba se ne prihvaća.</w:t>
            </w:r>
            <w:r w:rsidR="004F420B">
              <w:rPr>
                <w:rFonts w:ascii="Times New Roman" w:hAnsi="Times New Roman" w:cs="Times New Roman"/>
                <w:sz w:val="24"/>
                <w:szCs w:val="24"/>
              </w:rPr>
              <w:t xml:space="preserve"> Vidjeti obrazloženje pod brojem 1.</w:t>
            </w:r>
          </w:p>
        </w:tc>
      </w:tr>
      <w:tr w:rsidR="00D01C3C" w:rsidRPr="00D01C3C" w:rsidTr="006F4C3F">
        <w:trPr>
          <w:trHeight w:val="2824"/>
        </w:trPr>
        <w:tc>
          <w:tcPr>
            <w:tcW w:w="709" w:type="dxa"/>
            <w:tcBorders>
              <w:left w:val="thinThickSmallGap" w:sz="24" w:space="0" w:color="auto"/>
            </w:tcBorders>
            <w:shd w:val="clear" w:color="auto" w:fill="auto"/>
          </w:tcPr>
          <w:p w:rsidR="000808E5" w:rsidRPr="00D01C3C" w:rsidRDefault="000808E5" w:rsidP="00C6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808E5" w:rsidRPr="00D01C3C" w:rsidRDefault="000808E5" w:rsidP="00C6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8E5" w:rsidRPr="00D01C3C" w:rsidRDefault="000808E5" w:rsidP="0008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3C">
              <w:rPr>
                <w:rFonts w:ascii="Times New Roman" w:hAnsi="Times New Roman" w:cs="Times New Roman"/>
                <w:sz w:val="24"/>
                <w:szCs w:val="24"/>
              </w:rPr>
              <w:t>Primjedbe se odnose na članak 4. nacrta prijedloga a kojim se mijenja članak 136. Pravilnika.</w:t>
            </w:r>
          </w:p>
          <w:p w:rsidR="000808E5" w:rsidRPr="00D01C3C" w:rsidRDefault="000808E5" w:rsidP="0008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808E5" w:rsidRPr="00D01C3C" w:rsidRDefault="000808E5" w:rsidP="003D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1C3C">
              <w:rPr>
                <w:rFonts w:ascii="Times New Roman" w:hAnsi="Times New Roman" w:cs="Times New Roman"/>
                <w:sz w:val="24"/>
                <w:szCs w:val="24"/>
              </w:rPr>
              <w:t>Naše primjedbe i prijedlozi s obrazloženjem su sadržane u dopisima koje smo urudžbirali Gradonačelniku, Predsjedniku Gradske Skupštine te klubovima koji imaju zastupnike u Gradskoj Skupštini. Dopise dostavljamo u privitku ovom obrascu.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  <w:shd w:val="clear" w:color="auto" w:fill="auto"/>
          </w:tcPr>
          <w:p w:rsidR="000808E5" w:rsidRDefault="00865F0F" w:rsidP="0086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Primjedba se ne prihvaća.</w:t>
            </w:r>
          </w:p>
          <w:p w:rsidR="004F420B" w:rsidRPr="00D01C3C" w:rsidRDefault="004F420B" w:rsidP="0086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0B">
              <w:rPr>
                <w:rFonts w:ascii="Times New Roman" w:hAnsi="Times New Roman" w:cs="Times New Roman"/>
                <w:sz w:val="24"/>
                <w:szCs w:val="24"/>
              </w:rPr>
              <w:t>Vidjeti obrazloženje pod brojem 1.</w:t>
            </w:r>
          </w:p>
        </w:tc>
      </w:tr>
    </w:tbl>
    <w:p w:rsidR="00387260" w:rsidRPr="00D01C3C" w:rsidRDefault="00387260" w:rsidP="003D6472">
      <w:pPr>
        <w:rPr>
          <w:rFonts w:ascii="Times New Roman" w:hAnsi="Times New Roman" w:cs="Times New Roman"/>
          <w:sz w:val="24"/>
          <w:szCs w:val="24"/>
        </w:rPr>
      </w:pPr>
    </w:p>
    <w:sectPr w:rsidR="00387260" w:rsidRPr="00D01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5067"/>
    <w:multiLevelType w:val="hybridMultilevel"/>
    <w:tmpl w:val="8D3480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0"/>
    <w:rsid w:val="00020D18"/>
    <w:rsid w:val="0004292E"/>
    <w:rsid w:val="000808E5"/>
    <w:rsid w:val="00387260"/>
    <w:rsid w:val="003C379D"/>
    <w:rsid w:val="003D6472"/>
    <w:rsid w:val="004F420B"/>
    <w:rsid w:val="00512D03"/>
    <w:rsid w:val="00636211"/>
    <w:rsid w:val="006413B8"/>
    <w:rsid w:val="006B0373"/>
    <w:rsid w:val="006F4C3F"/>
    <w:rsid w:val="007E3BFA"/>
    <w:rsid w:val="008535C9"/>
    <w:rsid w:val="00865F0F"/>
    <w:rsid w:val="009848DC"/>
    <w:rsid w:val="00A03525"/>
    <w:rsid w:val="00A51194"/>
    <w:rsid w:val="00BF647E"/>
    <w:rsid w:val="00C64E9F"/>
    <w:rsid w:val="00C75266"/>
    <w:rsid w:val="00D01C3C"/>
    <w:rsid w:val="00ED448D"/>
    <w:rsid w:val="00F3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EFEB"/>
  <w15:chartTrackingRefBased/>
  <w15:docId w15:val="{DDEB191C-0A08-4184-A667-8A2B50F6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gvrecice.cistoca.hr/cesta-pitanja/35" TargetMode="External"/><Relationship Id="rId5" Type="http://schemas.openxmlformats.org/officeDocument/2006/relationships/hyperlink" Target="http://www.zgvrecice.cisto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Škudar</dc:creator>
  <cp:keywords/>
  <dc:description/>
  <cp:lastModifiedBy>Renata Škudar</cp:lastModifiedBy>
  <cp:revision>13</cp:revision>
  <cp:lastPrinted>2023-12-06T08:39:00Z</cp:lastPrinted>
  <dcterms:created xsi:type="dcterms:W3CDTF">2023-11-29T14:09:00Z</dcterms:created>
  <dcterms:modified xsi:type="dcterms:W3CDTF">2023-12-08T10:11:00Z</dcterms:modified>
</cp:coreProperties>
</file>